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B6FD" w14:textId="27A2565D" w:rsidR="008F01E9" w:rsidRPr="003F37E6" w:rsidRDefault="00E21905" w:rsidP="0025765D">
      <w:pPr>
        <w:spacing w:before="16" w:line="261" w:lineRule="auto"/>
        <w:ind w:right="2123"/>
        <w:rPr>
          <w:rFonts w:ascii="Arial" w:eastAsia="Arial" w:hAnsi="Arial" w:cs="Arial"/>
          <w:smallCaps/>
          <w:sz w:val="44"/>
          <w:szCs w:val="44"/>
        </w:rPr>
      </w:pPr>
      <w:r w:rsidRPr="41373612">
        <w:rPr>
          <w:rFonts w:ascii="Arial" w:hAnsi="Arial"/>
          <w:b/>
          <w:bCs/>
          <w:smallCaps/>
          <w:sz w:val="44"/>
          <w:szCs w:val="44"/>
        </w:rPr>
        <w:t>Spending Policy – 202</w:t>
      </w:r>
      <w:r w:rsidR="00C15934">
        <w:rPr>
          <w:rFonts w:ascii="Arial" w:hAnsi="Arial"/>
          <w:b/>
          <w:bCs/>
          <w:smallCaps/>
          <w:sz w:val="44"/>
          <w:szCs w:val="44"/>
        </w:rPr>
        <w:t>5</w:t>
      </w:r>
      <w:r w:rsidRPr="41373612">
        <w:rPr>
          <w:rFonts w:ascii="Arial" w:hAnsi="Arial"/>
          <w:b/>
          <w:bCs/>
          <w:smallCaps/>
          <w:sz w:val="44"/>
          <w:szCs w:val="44"/>
        </w:rPr>
        <w:t xml:space="preserve"> </w:t>
      </w:r>
    </w:p>
    <w:p w14:paraId="48A114AE" w14:textId="616FB15B" w:rsidR="007010AD" w:rsidRDefault="7CFF5A51" w:rsidP="41373612">
      <w:pPr>
        <w:spacing w:before="20" w:line="259" w:lineRule="auto"/>
        <w:rPr>
          <w:rFonts w:ascii="Garamond"/>
          <w:b/>
          <w:bCs/>
          <w:i/>
          <w:iCs/>
          <w:sz w:val="18"/>
          <w:szCs w:val="18"/>
        </w:rPr>
      </w:pPr>
      <w:r w:rsidRPr="41373612">
        <w:rPr>
          <w:rFonts w:ascii="Garamond"/>
          <w:b/>
          <w:bCs/>
          <w:i/>
          <w:iCs/>
          <w:sz w:val="18"/>
          <w:szCs w:val="18"/>
        </w:rPr>
        <w:t>Approved 9/</w:t>
      </w:r>
      <w:r w:rsidR="00BE52FB">
        <w:rPr>
          <w:rFonts w:ascii="Garamond"/>
          <w:b/>
          <w:bCs/>
          <w:i/>
          <w:iCs/>
          <w:sz w:val="18"/>
          <w:szCs w:val="18"/>
        </w:rPr>
        <w:t>13</w:t>
      </w:r>
      <w:r w:rsidRPr="41373612">
        <w:rPr>
          <w:rFonts w:ascii="Garamond"/>
          <w:b/>
          <w:bCs/>
          <w:i/>
          <w:iCs/>
          <w:sz w:val="18"/>
          <w:szCs w:val="18"/>
        </w:rPr>
        <w:t>/2</w:t>
      </w:r>
      <w:r w:rsidR="00BE52FB">
        <w:rPr>
          <w:rFonts w:ascii="Garamond"/>
          <w:b/>
          <w:bCs/>
          <w:i/>
          <w:iCs/>
          <w:sz w:val="18"/>
          <w:szCs w:val="18"/>
        </w:rPr>
        <w:t>4</w:t>
      </w:r>
      <w:r w:rsidRPr="41373612">
        <w:rPr>
          <w:rFonts w:ascii="Garamond"/>
          <w:b/>
          <w:bCs/>
          <w:i/>
          <w:iCs/>
          <w:sz w:val="18"/>
          <w:szCs w:val="18"/>
        </w:rPr>
        <w:t>.</w:t>
      </w:r>
    </w:p>
    <w:p w14:paraId="4A8DF8CB" w14:textId="77777777" w:rsidR="00934438" w:rsidRPr="007010AD" w:rsidRDefault="00934438" w:rsidP="0025765D">
      <w:pPr>
        <w:spacing w:before="1"/>
        <w:rPr>
          <w:rFonts w:ascii="Garamond" w:eastAsia="Garamond" w:hAnsi="Garamond" w:cs="Garamond"/>
          <w:b/>
          <w:bCs/>
          <w:i/>
          <w:iCs/>
          <w:sz w:val="18"/>
          <w:szCs w:val="18"/>
        </w:rPr>
      </w:pPr>
    </w:p>
    <w:p w14:paraId="0AC87658" w14:textId="77777777" w:rsidR="008F01E9" w:rsidRPr="00BB6186" w:rsidRDefault="003A7481" w:rsidP="00AC3445">
      <w:pPr>
        <w:numPr>
          <w:ilvl w:val="0"/>
          <w:numId w:val="2"/>
        </w:numPr>
        <w:tabs>
          <w:tab w:val="left" w:pos="528"/>
        </w:tabs>
        <w:ind w:left="0" w:firstLine="0"/>
        <w:rPr>
          <w:rFonts w:ascii="Arial" w:hAnsi="Arial"/>
          <w:b/>
          <w:smallCaps/>
          <w:spacing w:val="-1"/>
          <w:w w:val="95"/>
          <w:sz w:val="24"/>
        </w:rPr>
      </w:pPr>
      <w:r>
        <w:rPr>
          <w:rFonts w:ascii="Arial" w:hAnsi="Arial"/>
          <w:b/>
          <w:smallCaps/>
          <w:spacing w:val="-1"/>
          <w:w w:val="95"/>
          <w:sz w:val="24"/>
        </w:rPr>
        <w:t>s</w:t>
      </w:r>
      <w:r w:rsidR="007C6B24" w:rsidRPr="00BB6186">
        <w:rPr>
          <w:rFonts w:ascii="Arial" w:hAnsi="Arial"/>
          <w:b/>
          <w:smallCaps/>
          <w:spacing w:val="-1"/>
          <w:w w:val="95"/>
          <w:sz w:val="24"/>
        </w:rPr>
        <w:t xml:space="preserve">pending </w:t>
      </w:r>
      <w:r>
        <w:rPr>
          <w:rFonts w:ascii="Arial" w:hAnsi="Arial"/>
          <w:b/>
          <w:smallCaps/>
          <w:spacing w:val="-1"/>
          <w:w w:val="95"/>
          <w:sz w:val="24"/>
        </w:rPr>
        <w:t>p</w:t>
      </w:r>
      <w:r w:rsidR="007C6B24" w:rsidRPr="00BB6186">
        <w:rPr>
          <w:rFonts w:ascii="Arial" w:hAnsi="Arial"/>
          <w:b/>
          <w:smallCaps/>
          <w:spacing w:val="-1"/>
          <w:w w:val="95"/>
          <w:sz w:val="24"/>
        </w:rPr>
        <w:t>olicy</w:t>
      </w:r>
    </w:p>
    <w:p w14:paraId="0A37501D" w14:textId="77777777" w:rsidR="008F01E9" w:rsidRDefault="008F01E9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770CF031" w14:textId="65187BC3" w:rsidR="00E21905" w:rsidRPr="00E21905" w:rsidRDefault="00F548C4">
      <w:pPr>
        <w:pStyle w:val="BodyText"/>
        <w:ind w:left="0" w:right="215"/>
      </w:pPr>
      <w:r w:rsidRPr="00E21905">
        <w:rPr>
          <w:spacing w:val="-1"/>
        </w:rPr>
        <w:t>The Foundation’s</w:t>
      </w:r>
      <w:r w:rsidR="007C6B24" w:rsidRPr="00E21905">
        <w:rPr>
          <w:spacing w:val="-1"/>
        </w:rPr>
        <w:t xml:space="preserve"> spending policy is designed to allow the assets of an endowed fund to be invested on a "total return" basis to maintain and, if possible, increase the purchasing power of the Fund, while at the same time providing a relatively steady and predictable level of funding for grantees. The spending policy in effect </w:t>
      </w:r>
      <w:r w:rsidR="68F0CF96" w:rsidRPr="00E21905">
        <w:rPr>
          <w:spacing w:val="-1"/>
        </w:rPr>
        <w:t>for calendar year 202</w:t>
      </w:r>
      <w:r w:rsidR="00BE52FB">
        <w:rPr>
          <w:spacing w:val="-1"/>
        </w:rPr>
        <w:t>5</w:t>
      </w:r>
      <w:r w:rsidR="68F0CF96" w:rsidRPr="00E21905">
        <w:rPr>
          <w:spacing w:val="-1"/>
        </w:rPr>
        <w:t xml:space="preserve"> </w:t>
      </w:r>
      <w:r w:rsidR="007C6B24" w:rsidRPr="00E21905">
        <w:rPr>
          <w:spacing w:val="-1"/>
        </w:rPr>
        <w:t>is 4.</w:t>
      </w:r>
      <w:r w:rsidR="008C413B">
        <w:rPr>
          <w:spacing w:val="-1"/>
        </w:rPr>
        <w:t>0</w:t>
      </w:r>
      <w:r w:rsidR="007C6B24" w:rsidRPr="00E21905">
        <w:rPr>
          <w:spacing w:val="-1"/>
        </w:rPr>
        <w:t>% of the value of the endowed fund based on the average of the trailing twenty quarters as of June 30</w:t>
      </w:r>
      <w:r w:rsidR="007C6B24" w:rsidRPr="13F29745">
        <w:rPr>
          <w:spacing w:val="-1"/>
          <w:vertAlign w:val="superscript"/>
        </w:rPr>
        <w:t>th</w:t>
      </w:r>
      <w:proofErr w:type="gramStart"/>
      <w:r w:rsidR="007C6B24" w:rsidRPr="00E21905">
        <w:rPr>
          <w:spacing w:val="-1"/>
        </w:rPr>
        <w:t xml:space="preserve"> </w:t>
      </w:r>
      <w:r w:rsidR="304D7420" w:rsidRPr="00E21905">
        <w:rPr>
          <w:spacing w:val="-1"/>
        </w:rPr>
        <w:t>202</w:t>
      </w:r>
      <w:r w:rsidR="00CF291B">
        <w:rPr>
          <w:spacing w:val="-1"/>
        </w:rPr>
        <w:t>4</w:t>
      </w:r>
      <w:proofErr w:type="gramEnd"/>
      <w:r w:rsidR="304D7420" w:rsidRPr="00E21905">
        <w:rPr>
          <w:spacing w:val="-1"/>
        </w:rPr>
        <w:t xml:space="preserve"> </w:t>
      </w:r>
      <w:r w:rsidR="007C6B24" w:rsidRPr="00E21905">
        <w:rPr>
          <w:spacing w:val="-1"/>
        </w:rPr>
        <w:t xml:space="preserve">and is determined annually. </w:t>
      </w:r>
    </w:p>
    <w:p w14:paraId="5DAB6C7B" w14:textId="77777777" w:rsidR="00E21905" w:rsidRPr="00E21905" w:rsidRDefault="00E21905">
      <w:pPr>
        <w:pStyle w:val="BodyText"/>
        <w:ind w:left="0" w:right="215"/>
        <w:rPr>
          <w:spacing w:val="-1"/>
        </w:rPr>
      </w:pPr>
    </w:p>
    <w:p w14:paraId="6C999106" w14:textId="1DE09FAD" w:rsidR="00E21905" w:rsidRDefault="00E21905" w:rsidP="00E21905">
      <w:pPr>
        <w:pStyle w:val="BodyText"/>
        <w:ind w:left="360" w:right="216"/>
        <w:rPr>
          <w:spacing w:val="-1"/>
        </w:rPr>
      </w:pPr>
    </w:p>
    <w:p w14:paraId="6F434DB3" w14:textId="77777777" w:rsidR="008F01E9" w:rsidRPr="00A820F9" w:rsidRDefault="007C6B24">
      <w:pPr>
        <w:pStyle w:val="BodyText"/>
        <w:ind w:left="0" w:right="215"/>
        <w:rPr>
          <w:spacing w:val="-1"/>
        </w:rPr>
      </w:pPr>
      <w:r w:rsidRPr="00A820F9">
        <w:rPr>
          <w:spacing w:val="-1"/>
        </w:rPr>
        <w:t xml:space="preserve">If </w:t>
      </w:r>
      <w:r>
        <w:rPr>
          <w:spacing w:val="-1"/>
        </w:rPr>
        <w:t>the fund</w:t>
      </w:r>
      <w:r w:rsidRPr="00A820F9">
        <w:rPr>
          <w:spacing w:val="-1"/>
        </w:rPr>
        <w:t xml:space="preserve"> is </w:t>
      </w:r>
      <w:r>
        <w:rPr>
          <w:spacing w:val="-1"/>
        </w:rPr>
        <w:t>under</w:t>
      </w:r>
      <w:r w:rsidRPr="00A820F9">
        <w:rPr>
          <w:spacing w:val="-1"/>
        </w:rPr>
        <w:t xml:space="preserve"> </w:t>
      </w:r>
      <w:r>
        <w:rPr>
          <w:spacing w:val="-1"/>
        </w:rPr>
        <w:t>historic dollar</w:t>
      </w:r>
      <w:r w:rsidRPr="00A820F9">
        <w:rPr>
          <w:spacing w:val="-1"/>
        </w:rPr>
        <w:t xml:space="preserve"> </w:t>
      </w:r>
      <w:r>
        <w:rPr>
          <w:spacing w:val="-1"/>
        </w:rPr>
        <w:t xml:space="preserve">value (HDV), </w:t>
      </w:r>
      <w:r w:rsidRPr="00A820F9">
        <w:rPr>
          <w:spacing w:val="-1"/>
        </w:rPr>
        <w:t>the</w:t>
      </w:r>
      <w:r>
        <w:rPr>
          <w:spacing w:val="-1"/>
        </w:rPr>
        <w:t xml:space="preserve"> spending</w:t>
      </w:r>
      <w:r w:rsidRPr="00A820F9">
        <w:rPr>
          <w:spacing w:val="-1"/>
        </w:rPr>
        <w:t xml:space="preserve"> </w:t>
      </w:r>
      <w:r>
        <w:rPr>
          <w:spacing w:val="-1"/>
        </w:rPr>
        <w:t>rate will</w:t>
      </w:r>
      <w:r w:rsidRPr="00A820F9">
        <w:rPr>
          <w:spacing w:val="-1"/>
        </w:rPr>
        <w:t xml:space="preserve"> be</w:t>
      </w:r>
      <w:r>
        <w:rPr>
          <w:spacing w:val="-1"/>
        </w:rPr>
        <w:t xml:space="preserve"> reduced</w:t>
      </w:r>
      <w:r w:rsidRPr="00A820F9">
        <w:rPr>
          <w:spacing w:val="-1"/>
        </w:rPr>
        <w:t xml:space="preserve"> </w:t>
      </w:r>
      <w:r>
        <w:rPr>
          <w:spacing w:val="-1"/>
        </w:rPr>
        <w:t>as</w:t>
      </w:r>
      <w:r w:rsidRPr="00A820F9">
        <w:rPr>
          <w:spacing w:val="-1"/>
        </w:rPr>
        <w:t xml:space="preserve"> </w:t>
      </w:r>
      <w:r>
        <w:rPr>
          <w:spacing w:val="-1"/>
        </w:rPr>
        <w:t>follows:</w:t>
      </w:r>
    </w:p>
    <w:p w14:paraId="02EB378F" w14:textId="77777777" w:rsidR="008F01E9" w:rsidRDefault="008F01E9">
      <w:pPr>
        <w:spacing w:before="1"/>
        <w:rPr>
          <w:rFonts w:ascii="Garamond" w:eastAsia="Garamond" w:hAnsi="Garamond" w:cs="Garamond"/>
          <w:sz w:val="15"/>
          <w:szCs w:val="15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695"/>
      </w:tblGrid>
      <w:tr w:rsidR="008F01E9" w14:paraId="1CC80D1F" w14:textId="77777777" w:rsidTr="7546C681">
        <w:trPr>
          <w:trHeight w:hRule="exact" w:val="33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0521803" w14:textId="77777777" w:rsidR="008F01E9" w:rsidRDefault="007C6B24">
            <w:pPr>
              <w:pStyle w:val="TableParagraph"/>
              <w:spacing w:before="79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u w:val="single" w:color="000000"/>
              </w:rPr>
              <w:t>Under</w:t>
            </w:r>
            <w:r>
              <w:rPr>
                <w:rFonts w:ascii="Garamond"/>
                <w:u w:val="single" w:color="000000"/>
              </w:rPr>
              <w:t xml:space="preserve"> HDV</w:t>
            </w:r>
            <w:r>
              <w:rPr>
                <w:rFonts w:ascii="Garamond"/>
                <w:spacing w:val="-4"/>
                <w:u w:val="single" w:color="000000"/>
              </w:rPr>
              <w:t xml:space="preserve"> </w:t>
            </w:r>
            <w:r>
              <w:rPr>
                <w:rFonts w:ascii="Garamond"/>
                <w:u w:val="single" w:color="000000"/>
              </w:rPr>
              <w:t>by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2288027" w14:textId="77777777" w:rsidR="008F01E9" w:rsidRDefault="007C6B24">
            <w:pPr>
              <w:pStyle w:val="TableParagraph"/>
              <w:spacing w:before="79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u w:val="single" w:color="000000"/>
              </w:rPr>
              <w:t>Spending Rate</w:t>
            </w:r>
          </w:p>
        </w:tc>
      </w:tr>
      <w:tr w:rsidR="008F01E9" w14:paraId="54D4B5D1" w14:textId="77777777" w:rsidTr="7546C681">
        <w:trPr>
          <w:trHeight w:hRule="exact" w:val="24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98B85BA" w14:textId="5C4AF63C" w:rsidR="008F01E9" w:rsidRDefault="007C6B24" w:rsidP="1A15C311">
            <w:pPr>
              <w:pStyle w:val="TableParagraph"/>
              <w:spacing w:line="240" w:lineRule="exact"/>
              <w:rPr>
                <w:rFonts w:ascii="Garamond" w:eastAsia="Garamond" w:hAnsi="Garamond" w:cs="Garamond"/>
              </w:rPr>
            </w:pPr>
            <w:r w:rsidRPr="7546C681">
              <w:rPr>
                <w:rFonts w:ascii="Garamond" w:eastAsia="Garamond" w:hAnsi="Garamond" w:cs="Garamond"/>
              </w:rPr>
              <w:t xml:space="preserve">0 – </w:t>
            </w:r>
            <w:r w:rsidR="003A7481" w:rsidRPr="7546C681">
              <w:rPr>
                <w:rFonts w:ascii="Garamond" w:eastAsia="Garamond" w:hAnsi="Garamond" w:cs="Garamond"/>
              </w:rPr>
              <w:t>1%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A46180F" w14:textId="017A15B1" w:rsidR="008F01E9" w:rsidRDefault="007C6B24" w:rsidP="1A15C311">
            <w:pPr>
              <w:pStyle w:val="TableParagraph"/>
              <w:spacing w:line="240" w:lineRule="exact"/>
              <w:rPr>
                <w:rFonts w:ascii="Garamond" w:eastAsia="Garamond" w:hAnsi="Garamond" w:cs="Garamond"/>
              </w:rPr>
            </w:pPr>
            <w:r w:rsidRPr="1A15C311">
              <w:rPr>
                <w:rFonts w:ascii="Garamond"/>
              </w:rPr>
              <w:t>4.0%</w:t>
            </w:r>
          </w:p>
        </w:tc>
      </w:tr>
      <w:tr w:rsidR="00123939" w14:paraId="23AB6521" w14:textId="77777777" w:rsidTr="7546C681">
        <w:trPr>
          <w:trHeight w:hRule="exact" w:val="24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8BB1B1A" w14:textId="77777777" w:rsidR="00123939" w:rsidRDefault="00123939">
            <w:pPr>
              <w:pStyle w:val="TableParagraph"/>
              <w:spacing w:line="240" w:lineRule="exac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 – 5%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6B427B2" w14:textId="77777777" w:rsidR="00123939" w:rsidRDefault="00123939">
            <w:pPr>
              <w:pStyle w:val="TableParagraph"/>
              <w:spacing w:line="240" w:lineRule="exact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3.75%</w:t>
            </w:r>
          </w:p>
        </w:tc>
      </w:tr>
      <w:tr w:rsidR="008F01E9" w14:paraId="2648A773" w14:textId="77777777" w:rsidTr="7546C681">
        <w:trPr>
          <w:trHeight w:hRule="exact" w:val="247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FE8C2AB" w14:textId="77777777" w:rsidR="008F01E9" w:rsidRDefault="007C6B24">
            <w:pPr>
              <w:pStyle w:val="TableParagraph"/>
              <w:spacing w:line="240" w:lineRule="exac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– </w:t>
            </w:r>
            <w:r>
              <w:rPr>
                <w:rFonts w:ascii="Garamond" w:eastAsia="Garamond" w:hAnsi="Garamond" w:cs="Garamond"/>
                <w:spacing w:val="-1"/>
              </w:rPr>
              <w:t>10%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8089853" w14:textId="77777777" w:rsidR="008F01E9" w:rsidRDefault="007C6B24">
            <w:pPr>
              <w:pStyle w:val="TableParagraph"/>
              <w:spacing w:line="240" w:lineRule="exac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3.</w:t>
            </w:r>
            <w:r w:rsidR="00123939">
              <w:rPr>
                <w:rFonts w:ascii="Garamond"/>
                <w:spacing w:val="-1"/>
              </w:rPr>
              <w:t>2</w:t>
            </w:r>
            <w:r>
              <w:rPr>
                <w:rFonts w:ascii="Garamond"/>
                <w:spacing w:val="-1"/>
              </w:rPr>
              <w:t>5%</w:t>
            </w:r>
          </w:p>
        </w:tc>
      </w:tr>
      <w:tr w:rsidR="008F01E9" w14:paraId="2CDBBD56" w14:textId="77777777" w:rsidTr="7546C681">
        <w:trPr>
          <w:trHeight w:hRule="exact" w:val="33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2E722EC" w14:textId="77777777" w:rsidR="008F01E9" w:rsidRDefault="007C6B24">
            <w:pPr>
              <w:pStyle w:val="TableParagraph"/>
              <w:spacing w:line="240" w:lineRule="exac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&gt;10%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79F7539" w14:textId="77777777" w:rsidR="008F01E9" w:rsidRDefault="007C6B24">
            <w:pPr>
              <w:pStyle w:val="TableParagraph"/>
              <w:spacing w:line="240" w:lineRule="exac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2.</w:t>
            </w:r>
            <w:r w:rsidR="00123939">
              <w:rPr>
                <w:rFonts w:ascii="Garamond"/>
                <w:spacing w:val="-1"/>
              </w:rPr>
              <w:t>2</w:t>
            </w:r>
            <w:r>
              <w:rPr>
                <w:rFonts w:ascii="Garamond"/>
                <w:spacing w:val="-1"/>
              </w:rPr>
              <w:t>5%</w:t>
            </w:r>
          </w:p>
        </w:tc>
      </w:tr>
    </w:tbl>
    <w:p w14:paraId="6A05A809" w14:textId="77777777" w:rsidR="008F01E9" w:rsidRDefault="008F01E9">
      <w:pPr>
        <w:spacing w:before="6"/>
        <w:rPr>
          <w:rFonts w:ascii="Garamond" w:eastAsia="Garamond" w:hAnsi="Garamond" w:cs="Garamond"/>
          <w:sz w:val="6"/>
          <w:szCs w:val="6"/>
        </w:rPr>
      </w:pPr>
    </w:p>
    <w:p w14:paraId="7994EB90" w14:textId="77777777" w:rsidR="008F01E9" w:rsidRDefault="007C6B24">
      <w:pPr>
        <w:pStyle w:val="BodyText"/>
        <w:spacing w:before="79"/>
        <w:ind w:left="0" w:right="215"/>
      </w:pPr>
      <w:r>
        <w:t>The</w:t>
      </w:r>
      <w:r>
        <w:rPr>
          <w:spacing w:val="-1"/>
        </w:rPr>
        <w:t xml:space="preserve"> fund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managed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 with</w:t>
      </w:r>
      <w:r>
        <w:t xml:space="preserve"> the</w:t>
      </w:r>
      <w:r>
        <w:rPr>
          <w:spacing w:val="-1"/>
        </w:rPr>
        <w:t xml:space="preserve"> </w:t>
      </w:r>
      <w:bookmarkStart w:id="0" w:name="_Hlk110518651"/>
      <w:r>
        <w:rPr>
          <w:spacing w:val="-1"/>
        </w:rPr>
        <w:t>Uniform</w:t>
      </w:r>
      <w:r>
        <w:t xml:space="preserve"> </w:t>
      </w:r>
      <w:r>
        <w:rPr>
          <w:spacing w:val="-1"/>
        </w:rPr>
        <w:t>Prudent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63"/>
        </w:rPr>
        <w:t xml:space="preserve"> </w:t>
      </w:r>
      <w:r>
        <w:rPr>
          <w:spacing w:val="-1"/>
        </w:rPr>
        <w:t>(UPMIFA)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thus</w:t>
      </w:r>
      <w:r>
        <w:rPr>
          <w:spacing w:val="1"/>
        </w:rPr>
        <w:t xml:space="preserve"> </w:t>
      </w:r>
      <w:r>
        <w:rPr>
          <w:spacing w:val="-1"/>
        </w:rPr>
        <w:t>the following provisions</w:t>
      </w:r>
      <w:r>
        <w:rPr>
          <w:spacing w:val="1"/>
        </w:rPr>
        <w:t xml:space="preserve"> </w:t>
      </w:r>
      <w:r>
        <w:rPr>
          <w:spacing w:val="-1"/>
        </w:rPr>
        <w:t>are considered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 xml:space="preserve">determining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spending rate:</w:t>
      </w:r>
    </w:p>
    <w:p w14:paraId="5A39BBE3" w14:textId="77777777" w:rsidR="008F01E9" w:rsidRDefault="008F01E9">
      <w:pPr>
        <w:spacing w:before="11"/>
        <w:rPr>
          <w:rFonts w:ascii="Garamond" w:eastAsia="Garamond" w:hAnsi="Garamond" w:cs="Garamond"/>
          <w:sz w:val="21"/>
          <w:szCs w:val="21"/>
        </w:rPr>
      </w:pPr>
    </w:p>
    <w:p w14:paraId="5CDF32C9" w14:textId="77777777" w:rsidR="008F01E9" w:rsidRDefault="007C6B24">
      <w:pPr>
        <w:numPr>
          <w:ilvl w:val="1"/>
          <w:numId w:val="2"/>
        </w:numPr>
        <w:tabs>
          <w:tab w:val="left" w:pos="892"/>
        </w:tabs>
        <w:spacing w:line="224" w:lineRule="exact"/>
        <w:ind w:left="81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duration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1"/>
          <w:sz w:val="20"/>
        </w:rPr>
        <w:t>and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preservation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of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endowment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fund</w:t>
      </w:r>
      <w:r w:rsidR="0025765D">
        <w:rPr>
          <w:rFonts w:ascii="Garamond"/>
          <w:spacing w:val="-1"/>
          <w:sz w:val="20"/>
        </w:rPr>
        <w:t xml:space="preserve"> </w:t>
      </w:r>
    </w:p>
    <w:p w14:paraId="2A51591A" w14:textId="77777777" w:rsidR="008F01E9" w:rsidRPr="00DB6835" w:rsidRDefault="007C6B24">
      <w:pPr>
        <w:numPr>
          <w:ilvl w:val="1"/>
          <w:numId w:val="2"/>
        </w:numPr>
        <w:tabs>
          <w:tab w:val="left" w:pos="892"/>
        </w:tabs>
        <w:spacing w:line="224" w:lineRule="exact"/>
        <w:ind w:left="81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purposes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of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institution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and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endowment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fund</w:t>
      </w:r>
      <w:r w:rsidR="00DB6835" w:rsidRPr="00DB6835">
        <w:rPr>
          <w:rFonts w:ascii="Garamond"/>
          <w:spacing w:val="-1"/>
          <w:sz w:val="20"/>
        </w:rPr>
        <w:t xml:space="preserve"> </w:t>
      </w:r>
    </w:p>
    <w:p w14:paraId="3C1A0A50" w14:textId="77777777" w:rsidR="008F01E9" w:rsidRDefault="007C6B24">
      <w:pPr>
        <w:numPr>
          <w:ilvl w:val="1"/>
          <w:numId w:val="2"/>
        </w:numPr>
        <w:tabs>
          <w:tab w:val="left" w:pos="892"/>
        </w:tabs>
        <w:ind w:left="81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General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1"/>
          <w:sz w:val="20"/>
        </w:rPr>
        <w:t>economic</w:t>
      </w:r>
      <w:r>
        <w:rPr>
          <w:rFonts w:ascii="Garamond"/>
          <w:spacing w:val="-10"/>
          <w:sz w:val="20"/>
        </w:rPr>
        <w:t xml:space="preserve"> </w:t>
      </w:r>
      <w:r>
        <w:rPr>
          <w:rFonts w:ascii="Garamond"/>
          <w:spacing w:val="-1"/>
          <w:sz w:val="20"/>
        </w:rPr>
        <w:t>conditions</w:t>
      </w:r>
    </w:p>
    <w:p w14:paraId="1EA8376A" w14:textId="77777777" w:rsidR="008F01E9" w:rsidRDefault="007C6B24">
      <w:pPr>
        <w:numPr>
          <w:ilvl w:val="1"/>
          <w:numId w:val="2"/>
        </w:numPr>
        <w:tabs>
          <w:tab w:val="left" w:pos="892"/>
        </w:tabs>
        <w:ind w:left="81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possible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z w:val="20"/>
        </w:rPr>
        <w:t>effect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of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inflation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or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deflation</w:t>
      </w:r>
    </w:p>
    <w:p w14:paraId="6844102F" w14:textId="77777777" w:rsidR="008F01E9" w:rsidRDefault="007C6B24">
      <w:pPr>
        <w:numPr>
          <w:ilvl w:val="1"/>
          <w:numId w:val="2"/>
        </w:numPr>
        <w:tabs>
          <w:tab w:val="left" w:pos="892"/>
        </w:tabs>
        <w:spacing w:line="224" w:lineRule="exact"/>
        <w:ind w:left="81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expected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total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return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from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pacing w:val="-1"/>
          <w:sz w:val="20"/>
        </w:rPr>
        <w:t>income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and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appreciation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of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assets</w:t>
      </w:r>
    </w:p>
    <w:p w14:paraId="3A2EFDD7" w14:textId="77777777" w:rsidR="008F01E9" w:rsidRDefault="007C6B24">
      <w:pPr>
        <w:numPr>
          <w:ilvl w:val="1"/>
          <w:numId w:val="2"/>
        </w:numPr>
        <w:tabs>
          <w:tab w:val="left" w:pos="892"/>
        </w:tabs>
        <w:spacing w:line="224" w:lineRule="exact"/>
        <w:ind w:left="81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Other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resources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of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 w:rsidR="00AC3445">
        <w:rPr>
          <w:rFonts w:ascii="Garamond"/>
          <w:spacing w:val="-1"/>
          <w:sz w:val="20"/>
        </w:rPr>
        <w:t xml:space="preserve">institution </w:t>
      </w:r>
    </w:p>
    <w:p w14:paraId="2566109E" w14:textId="091531B8" w:rsidR="008F01E9" w:rsidRDefault="007C6B24">
      <w:pPr>
        <w:numPr>
          <w:ilvl w:val="1"/>
          <w:numId w:val="2"/>
        </w:numPr>
        <w:tabs>
          <w:tab w:val="left" w:pos="892"/>
        </w:tabs>
        <w:ind w:left="810" w:right="28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Where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appropriate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and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circumstances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1"/>
          <w:sz w:val="20"/>
        </w:rPr>
        <w:t>would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warrant,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alternatives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1"/>
          <w:sz w:val="20"/>
        </w:rPr>
        <w:t>to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1"/>
          <w:sz w:val="20"/>
        </w:rPr>
        <w:t>expenditure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of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the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endowment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z w:val="20"/>
        </w:rPr>
        <w:t>fund,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giving</w:t>
      </w:r>
      <w:r>
        <w:rPr>
          <w:rFonts w:ascii="Garamond"/>
          <w:spacing w:val="73"/>
          <w:w w:val="99"/>
          <w:sz w:val="20"/>
        </w:rPr>
        <w:t xml:space="preserve"> </w:t>
      </w:r>
      <w:r>
        <w:rPr>
          <w:rFonts w:ascii="Garamond"/>
          <w:sz w:val="20"/>
        </w:rPr>
        <w:t>due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consideration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to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z w:val="20"/>
        </w:rPr>
        <w:t>effect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that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such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alternatives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may</w:t>
      </w:r>
      <w:r>
        <w:rPr>
          <w:rFonts w:ascii="Garamond"/>
          <w:spacing w:val="-3"/>
          <w:sz w:val="20"/>
        </w:rPr>
        <w:t xml:space="preserve"> </w:t>
      </w:r>
      <w:r>
        <w:rPr>
          <w:rFonts w:ascii="Garamond"/>
          <w:spacing w:val="-1"/>
          <w:sz w:val="20"/>
        </w:rPr>
        <w:t>have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on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z w:val="20"/>
        </w:rPr>
        <w:t>the</w:t>
      </w:r>
      <w:r>
        <w:rPr>
          <w:rFonts w:ascii="Garamond"/>
          <w:spacing w:val="-4"/>
          <w:sz w:val="20"/>
        </w:rPr>
        <w:t xml:space="preserve"> </w:t>
      </w:r>
      <w:r w:rsidR="00817645">
        <w:rPr>
          <w:rFonts w:ascii="Garamond"/>
          <w:spacing w:val="-1"/>
          <w:sz w:val="20"/>
        </w:rPr>
        <w:t>institution.</w:t>
      </w:r>
    </w:p>
    <w:p w14:paraId="751AB0AE" w14:textId="77777777" w:rsidR="008F01E9" w:rsidRDefault="007C6B24">
      <w:pPr>
        <w:numPr>
          <w:ilvl w:val="1"/>
          <w:numId w:val="2"/>
        </w:numPr>
        <w:tabs>
          <w:tab w:val="left" w:pos="892"/>
        </w:tabs>
        <w:ind w:left="810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investment</w:t>
      </w:r>
      <w:r>
        <w:rPr>
          <w:rFonts w:ascii="Garamond"/>
          <w:spacing w:val="-4"/>
          <w:sz w:val="20"/>
        </w:rPr>
        <w:t xml:space="preserve"> </w:t>
      </w:r>
      <w:r>
        <w:rPr>
          <w:rFonts w:ascii="Garamond"/>
          <w:spacing w:val="-1"/>
          <w:sz w:val="20"/>
        </w:rPr>
        <w:t>policy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of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z w:val="20"/>
        </w:rPr>
        <w:t>the</w:t>
      </w:r>
      <w:r>
        <w:rPr>
          <w:rFonts w:ascii="Garamond"/>
          <w:spacing w:val="-5"/>
          <w:sz w:val="20"/>
        </w:rPr>
        <w:t xml:space="preserve"> </w:t>
      </w:r>
      <w:r>
        <w:rPr>
          <w:rFonts w:ascii="Garamond"/>
          <w:spacing w:val="-1"/>
          <w:sz w:val="20"/>
        </w:rPr>
        <w:t>institution</w:t>
      </w:r>
    </w:p>
    <w:bookmarkEnd w:id="0"/>
    <w:p w14:paraId="41C8F396" w14:textId="77777777" w:rsidR="008F01E9" w:rsidRDefault="008F01E9">
      <w:pPr>
        <w:spacing w:before="11"/>
        <w:rPr>
          <w:rFonts w:ascii="Garamond" w:eastAsia="Garamond" w:hAnsi="Garamond" w:cs="Garamond"/>
          <w:sz w:val="21"/>
          <w:szCs w:val="21"/>
        </w:rPr>
      </w:pPr>
    </w:p>
    <w:p w14:paraId="039DA6BB" w14:textId="77777777" w:rsidR="008A5E13" w:rsidRDefault="007C6B24">
      <w:pPr>
        <w:pStyle w:val="BodyText"/>
        <w:ind w:left="0"/>
        <w:rPr>
          <w:spacing w:val="-1"/>
        </w:rPr>
      </w:pPr>
      <w:r>
        <w:t>The</w:t>
      </w:r>
      <w:r>
        <w:rPr>
          <w:spacing w:val="-1"/>
        </w:rPr>
        <w:t xml:space="preserve"> Investment</w:t>
      </w:r>
      <w: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reviews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spending</w:t>
      </w:r>
      <w:r>
        <w:rPr>
          <w:spacing w:val="-3"/>
        </w:rPr>
        <w:t xml:space="preserve"> </w:t>
      </w:r>
      <w:r>
        <w:rPr>
          <w:spacing w:val="-1"/>
        </w:rPr>
        <w:t>policy and</w:t>
      </w:r>
      <w:r>
        <w:t xml:space="preserve"> </w:t>
      </w:r>
      <w:r>
        <w:rPr>
          <w:spacing w:val="-1"/>
        </w:rPr>
        <w:t>makes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recommendation</w:t>
      </w:r>
      <w:r>
        <w:t xml:space="preserve"> to 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annually</w:t>
      </w:r>
      <w:r w:rsidR="00A820F9">
        <w:rPr>
          <w:spacing w:val="-1"/>
        </w:rPr>
        <w:t xml:space="preserve"> in September for the following year</w:t>
      </w:r>
      <w:r>
        <w:rPr>
          <w:spacing w:val="-1"/>
        </w:rPr>
        <w:t>.</w:t>
      </w:r>
    </w:p>
    <w:p w14:paraId="72A3D3EC" w14:textId="77777777" w:rsidR="008A5E13" w:rsidRDefault="008A5E13">
      <w:pPr>
        <w:rPr>
          <w:rFonts w:ascii="Garamond" w:eastAsia="Garamond" w:hAnsi="Garamond"/>
          <w:spacing w:val="-1"/>
        </w:rPr>
      </w:pPr>
    </w:p>
    <w:sectPr w:rsidR="008A5E13">
      <w:footerReference w:type="default" r:id="rId11"/>
      <w:pgSz w:w="12240" w:h="15840"/>
      <w:pgMar w:top="840" w:right="1200" w:bottom="880" w:left="118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FF6E" w14:textId="77777777" w:rsidR="000C2216" w:rsidRDefault="000C2216">
      <w:r>
        <w:separator/>
      </w:r>
    </w:p>
  </w:endnote>
  <w:endnote w:type="continuationSeparator" w:id="0">
    <w:p w14:paraId="7DD2860A" w14:textId="77777777" w:rsidR="000C2216" w:rsidRDefault="000C2216">
      <w:r>
        <w:continuationSeparator/>
      </w:r>
    </w:p>
  </w:endnote>
  <w:endnote w:type="continuationNotice" w:id="1">
    <w:p w14:paraId="43FAC527" w14:textId="77777777" w:rsidR="000C2216" w:rsidRDefault="000C2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E96F" w14:textId="77777777" w:rsidR="004F30CB" w:rsidRDefault="001239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517275E" wp14:editId="59216834">
              <wp:simplePos x="0" y="0"/>
              <wp:positionH relativeFrom="page">
                <wp:posOffset>798619</wp:posOffset>
              </wp:positionH>
              <wp:positionV relativeFrom="page">
                <wp:posOffset>9715500</wp:posOffset>
              </wp:positionV>
              <wp:extent cx="669925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7DC3" w14:textId="77777777" w:rsidR="00123939" w:rsidRDefault="004F30CB">
                          <w:pPr>
                            <w:spacing w:line="265" w:lineRule="exact"/>
                            <w:ind w:left="40"/>
                            <w:rPr>
                              <w:rFonts w:ascii="Times New Roman"/>
                              <w:color w:val="808080"/>
                              <w:spacing w:val="57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0520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z w:val="24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57"/>
                              <w:sz w:val="24"/>
                            </w:rPr>
                            <w:t>g</w:t>
                          </w:r>
                          <w:r w:rsidR="00123939">
                            <w:rPr>
                              <w:rFonts w:ascii="Times New Roman"/>
                              <w:color w:val="808080"/>
                              <w:spacing w:val="57"/>
                              <w:sz w:val="24"/>
                            </w:rPr>
                            <w:t>e</w:t>
                          </w:r>
                        </w:p>
                        <w:p w14:paraId="15B5C4B3" w14:textId="77777777" w:rsidR="004F30CB" w:rsidRDefault="004F30CB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727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9pt;margin-top:765pt;width:52.75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" filled="f" stroked="f">
              <v:textbox inset="0,0,0,0">
                <w:txbxContent>
                  <w:p w14:paraId="36C87DC3" w14:textId="77777777" w:rsidR="00123939" w:rsidRDefault="004F30CB">
                    <w:pPr>
                      <w:spacing w:line="265" w:lineRule="exact"/>
                      <w:ind w:left="40"/>
                      <w:rPr>
                        <w:rFonts w:ascii="Times New Roman"/>
                        <w:color w:val="808080"/>
                        <w:spacing w:val="57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0520">
                      <w:rPr>
                        <w:rFonts w:ascii="Times New Roman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|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z w:val="24"/>
                      </w:rPr>
                      <w:t>P a</w:t>
                    </w:r>
                    <w:r>
                      <w:rPr>
                        <w:rFonts w:ascii="Times New Roman"/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57"/>
                        <w:sz w:val="24"/>
                      </w:rPr>
                      <w:t>g</w:t>
                    </w:r>
                    <w:r w:rsidR="00123939">
                      <w:rPr>
                        <w:rFonts w:ascii="Times New Roman"/>
                        <w:color w:val="808080"/>
                        <w:spacing w:val="57"/>
                        <w:sz w:val="24"/>
                      </w:rPr>
                      <w:t>e</w:t>
                    </w:r>
                  </w:p>
                  <w:p w14:paraId="15B5C4B3" w14:textId="77777777" w:rsidR="004F30CB" w:rsidRDefault="004F30CB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808080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color w:val="808080"/>
                        <w:spacing w:val="-3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30CB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08A763" wp14:editId="2174113A">
              <wp:simplePos x="0" y="0"/>
              <wp:positionH relativeFrom="page">
                <wp:posOffset>839470</wp:posOffset>
              </wp:positionH>
              <wp:positionV relativeFrom="page">
                <wp:posOffset>9480550</wp:posOffset>
              </wp:positionV>
              <wp:extent cx="6094730" cy="1270"/>
              <wp:effectExtent l="1079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4730" cy="1270"/>
                        <a:chOff x="1322" y="14930"/>
                        <a:chExt cx="959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22" y="14930"/>
                          <a:ext cx="9598" cy="2"/>
                        </a:xfrm>
                        <a:custGeom>
                          <a:avLst/>
                          <a:gdLst>
                            <a:gd name="T0" fmla="+- 0 1322 1322"/>
                            <a:gd name="T1" fmla="*/ T0 w 9598"/>
                            <a:gd name="T2" fmla="+- 0 10920 1322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9407F7" id="Group 2" o:spid="_x0000_s1026" style="position:absolute;margin-left:66.1pt;margin-top:746.5pt;width:479.9pt;height:.1pt;z-index:-251658240;mso-position-horizontal-relative:page;mso-position-vertical-relative:page" coordorigin="1322,14930" coordsize="9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">
              <v:shape id="Freeform 3" o:spid="_x0000_s1027" style="position:absolute;left:1322;top:14930;width:9598;height:2;visibility:visible;mso-wrap-style:square;v-text-anchor:top" coordsize="9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" path="m,l9598,e" filled="f" strokecolor="#dadada" strokeweight=".58pt">
                <v:path arrowok="t" o:connecttype="custom" o:connectlocs="0,0;959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4B8C" w14:textId="77777777" w:rsidR="000C2216" w:rsidRDefault="000C2216">
      <w:r>
        <w:separator/>
      </w:r>
    </w:p>
  </w:footnote>
  <w:footnote w:type="continuationSeparator" w:id="0">
    <w:p w14:paraId="5AC2E1CC" w14:textId="77777777" w:rsidR="000C2216" w:rsidRDefault="000C2216">
      <w:r>
        <w:continuationSeparator/>
      </w:r>
    </w:p>
  </w:footnote>
  <w:footnote w:type="continuationNotice" w:id="1">
    <w:p w14:paraId="6F0CB788" w14:textId="77777777" w:rsidR="000C2216" w:rsidRDefault="000C22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7036"/>
    <w:multiLevelType w:val="hybridMultilevel"/>
    <w:tmpl w:val="AB9AC6F4"/>
    <w:lvl w:ilvl="0" w:tplc="F7F0430A">
      <w:start w:val="1"/>
      <w:numFmt w:val="decimal"/>
      <w:lvlText w:val="%1."/>
      <w:lvlJc w:val="left"/>
      <w:pPr>
        <w:ind w:left="1104" w:hanging="502"/>
      </w:pPr>
      <w:rPr>
        <w:rFonts w:ascii="Garamond" w:eastAsia="Garamond" w:hAnsi="Garamond" w:hint="default"/>
        <w:spacing w:val="-1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D4249"/>
    <w:multiLevelType w:val="hybridMultilevel"/>
    <w:tmpl w:val="68724F3E"/>
    <w:lvl w:ilvl="0" w:tplc="F7F0430A">
      <w:start w:val="1"/>
      <w:numFmt w:val="decimal"/>
      <w:lvlText w:val="%1."/>
      <w:lvlJc w:val="left"/>
      <w:pPr>
        <w:ind w:left="1104" w:hanging="502"/>
      </w:pPr>
      <w:rPr>
        <w:rFonts w:ascii="Garamond" w:eastAsia="Garamond" w:hAnsi="Garamond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09FC"/>
    <w:multiLevelType w:val="hybridMultilevel"/>
    <w:tmpl w:val="624685C6"/>
    <w:lvl w:ilvl="0" w:tplc="8D00DA64">
      <w:start w:val="1"/>
      <w:numFmt w:val="bullet"/>
      <w:lvlText w:val=""/>
      <w:lvlJc w:val="left"/>
      <w:pPr>
        <w:ind w:left="2311" w:hanging="361"/>
      </w:pPr>
      <w:rPr>
        <w:rFonts w:ascii="Symbol" w:eastAsia="Symbol" w:hAnsi="Symbol" w:hint="default"/>
        <w:sz w:val="22"/>
        <w:szCs w:val="22"/>
      </w:rPr>
    </w:lvl>
    <w:lvl w:ilvl="1" w:tplc="D870BC8E">
      <w:start w:val="1"/>
      <w:numFmt w:val="bullet"/>
      <w:lvlText w:val="•"/>
      <w:lvlJc w:val="left"/>
      <w:pPr>
        <w:ind w:left="3136" w:hanging="361"/>
      </w:pPr>
      <w:rPr>
        <w:rFonts w:hint="default"/>
      </w:rPr>
    </w:lvl>
    <w:lvl w:ilvl="2" w:tplc="3252ECB8">
      <w:start w:val="1"/>
      <w:numFmt w:val="bullet"/>
      <w:lvlText w:val="•"/>
      <w:lvlJc w:val="left"/>
      <w:pPr>
        <w:ind w:left="3961" w:hanging="361"/>
      </w:pPr>
      <w:rPr>
        <w:rFonts w:hint="default"/>
      </w:rPr>
    </w:lvl>
    <w:lvl w:ilvl="3" w:tplc="D9A65838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4" w:tplc="D9562FFC">
      <w:start w:val="1"/>
      <w:numFmt w:val="bullet"/>
      <w:lvlText w:val="•"/>
      <w:lvlJc w:val="left"/>
      <w:pPr>
        <w:ind w:left="5610" w:hanging="361"/>
      </w:pPr>
      <w:rPr>
        <w:rFonts w:hint="default"/>
      </w:rPr>
    </w:lvl>
    <w:lvl w:ilvl="5" w:tplc="2F88DBA2">
      <w:start w:val="1"/>
      <w:numFmt w:val="bullet"/>
      <w:lvlText w:val="•"/>
      <w:lvlJc w:val="left"/>
      <w:pPr>
        <w:ind w:left="6435" w:hanging="361"/>
      </w:pPr>
      <w:rPr>
        <w:rFonts w:hint="default"/>
      </w:rPr>
    </w:lvl>
    <w:lvl w:ilvl="6" w:tplc="8D7E9EC2">
      <w:start w:val="1"/>
      <w:numFmt w:val="bullet"/>
      <w:lvlText w:val="•"/>
      <w:lvlJc w:val="left"/>
      <w:pPr>
        <w:ind w:left="7260" w:hanging="361"/>
      </w:pPr>
      <w:rPr>
        <w:rFonts w:hint="default"/>
      </w:rPr>
    </w:lvl>
    <w:lvl w:ilvl="7" w:tplc="DF1E0A5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8" w:tplc="DD105E34">
      <w:start w:val="1"/>
      <w:numFmt w:val="bullet"/>
      <w:lvlText w:val="•"/>
      <w:lvlJc w:val="left"/>
      <w:pPr>
        <w:ind w:left="8910" w:hanging="361"/>
      </w:pPr>
      <w:rPr>
        <w:rFonts w:hint="default"/>
      </w:rPr>
    </w:lvl>
  </w:abstractNum>
  <w:abstractNum w:abstractNumId="3" w15:restartNumberingAfterBreak="0">
    <w:nsid w:val="46487E62"/>
    <w:multiLevelType w:val="hybridMultilevel"/>
    <w:tmpl w:val="6E6A613A"/>
    <w:lvl w:ilvl="0" w:tplc="6B948488">
      <w:start w:val="1"/>
      <w:numFmt w:val="upperRoman"/>
      <w:lvlText w:val="%1."/>
      <w:lvlJc w:val="left"/>
      <w:pPr>
        <w:ind w:left="367" w:hanging="216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 w:tplc="F7F0430A">
      <w:start w:val="1"/>
      <w:numFmt w:val="decimal"/>
      <w:lvlText w:val="%2."/>
      <w:lvlJc w:val="left"/>
      <w:pPr>
        <w:ind w:left="1255" w:hanging="502"/>
      </w:pPr>
      <w:rPr>
        <w:rFonts w:ascii="Garamond" w:eastAsia="Garamond" w:hAnsi="Garamond" w:hint="default"/>
        <w:spacing w:val="-1"/>
        <w:sz w:val="22"/>
        <w:szCs w:val="22"/>
      </w:rPr>
    </w:lvl>
    <w:lvl w:ilvl="2" w:tplc="61AEE950">
      <w:start w:val="1"/>
      <w:numFmt w:val="bullet"/>
      <w:lvlText w:val="-"/>
      <w:lvlJc w:val="left"/>
      <w:pPr>
        <w:ind w:left="2102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690E9416">
      <w:start w:val="1"/>
      <w:numFmt w:val="bullet"/>
      <w:lvlText w:val="•"/>
      <w:lvlJc w:val="left"/>
      <w:pPr>
        <w:ind w:left="1255" w:hanging="360"/>
      </w:pPr>
      <w:rPr>
        <w:rFonts w:hint="default"/>
      </w:rPr>
    </w:lvl>
    <w:lvl w:ilvl="4" w:tplc="73143E7E">
      <w:start w:val="1"/>
      <w:numFmt w:val="bullet"/>
      <w:lvlText w:val="•"/>
      <w:lvlJc w:val="left"/>
      <w:pPr>
        <w:ind w:left="1255" w:hanging="360"/>
      </w:pPr>
      <w:rPr>
        <w:rFonts w:hint="default"/>
      </w:rPr>
    </w:lvl>
    <w:lvl w:ilvl="5" w:tplc="E83A97F4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6" w:tplc="E1AAC33C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7" w:tplc="5D727674">
      <w:start w:val="1"/>
      <w:numFmt w:val="bullet"/>
      <w:lvlText w:val="•"/>
      <w:lvlJc w:val="left"/>
      <w:pPr>
        <w:ind w:left="5257" w:hanging="360"/>
      </w:pPr>
      <w:rPr>
        <w:rFonts w:hint="default"/>
      </w:rPr>
    </w:lvl>
    <w:lvl w:ilvl="8" w:tplc="B316D902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</w:abstractNum>
  <w:abstractNum w:abstractNumId="4" w15:restartNumberingAfterBreak="0">
    <w:nsid w:val="69663083"/>
    <w:multiLevelType w:val="hybridMultilevel"/>
    <w:tmpl w:val="93E05A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CB34DBA"/>
    <w:multiLevelType w:val="hybridMultilevel"/>
    <w:tmpl w:val="45EA82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F387EFC"/>
    <w:multiLevelType w:val="hybridMultilevel"/>
    <w:tmpl w:val="B264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43361"/>
    <w:multiLevelType w:val="hybridMultilevel"/>
    <w:tmpl w:val="B37AD784"/>
    <w:lvl w:ilvl="0" w:tplc="D1B2210A">
      <w:start w:val="1"/>
      <w:numFmt w:val="decimal"/>
      <w:lvlText w:val="%1."/>
      <w:lvlJc w:val="left"/>
      <w:pPr>
        <w:tabs>
          <w:tab w:val="num" w:pos="954"/>
        </w:tabs>
        <w:ind w:left="954" w:hanging="504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72D76FB5"/>
    <w:multiLevelType w:val="hybridMultilevel"/>
    <w:tmpl w:val="981E2CD6"/>
    <w:lvl w:ilvl="0" w:tplc="D1B2210A">
      <w:start w:val="1"/>
      <w:numFmt w:val="decimal"/>
      <w:lvlText w:val="%1."/>
      <w:lvlJc w:val="left"/>
      <w:pPr>
        <w:tabs>
          <w:tab w:val="num" w:pos="954"/>
        </w:tabs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536F0"/>
    <w:multiLevelType w:val="hybridMultilevel"/>
    <w:tmpl w:val="90B2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7598">
    <w:abstractNumId w:val="2"/>
  </w:num>
  <w:num w:numId="2" w16cid:durableId="961113352">
    <w:abstractNumId w:val="3"/>
  </w:num>
  <w:num w:numId="3" w16cid:durableId="1597862271">
    <w:abstractNumId w:val="1"/>
  </w:num>
  <w:num w:numId="4" w16cid:durableId="1533691596">
    <w:abstractNumId w:val="0"/>
  </w:num>
  <w:num w:numId="5" w16cid:durableId="554781934">
    <w:abstractNumId w:val="9"/>
  </w:num>
  <w:num w:numId="6" w16cid:durableId="1200121422">
    <w:abstractNumId w:val="4"/>
  </w:num>
  <w:num w:numId="7" w16cid:durableId="2088917605">
    <w:abstractNumId w:val="7"/>
  </w:num>
  <w:num w:numId="8" w16cid:durableId="369498112">
    <w:abstractNumId w:val="6"/>
  </w:num>
  <w:num w:numId="9" w16cid:durableId="107510091">
    <w:abstractNumId w:val="5"/>
  </w:num>
  <w:num w:numId="10" w16cid:durableId="1044019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E9"/>
    <w:rsid w:val="0002353A"/>
    <w:rsid w:val="000423A2"/>
    <w:rsid w:val="00070D2C"/>
    <w:rsid w:val="00075F88"/>
    <w:rsid w:val="000A6A27"/>
    <w:rsid w:val="000B67FD"/>
    <w:rsid w:val="000C2216"/>
    <w:rsid w:val="000F0ADE"/>
    <w:rsid w:val="00120753"/>
    <w:rsid w:val="00123939"/>
    <w:rsid w:val="0013656D"/>
    <w:rsid w:val="00136C4E"/>
    <w:rsid w:val="00167DA5"/>
    <w:rsid w:val="00205459"/>
    <w:rsid w:val="0025765D"/>
    <w:rsid w:val="00271388"/>
    <w:rsid w:val="00281AA0"/>
    <w:rsid w:val="00293F08"/>
    <w:rsid w:val="002B4127"/>
    <w:rsid w:val="002C4BA0"/>
    <w:rsid w:val="002E2A0E"/>
    <w:rsid w:val="002F113C"/>
    <w:rsid w:val="00315AD2"/>
    <w:rsid w:val="00317BFC"/>
    <w:rsid w:val="00341641"/>
    <w:rsid w:val="003708D1"/>
    <w:rsid w:val="003A3199"/>
    <w:rsid w:val="003A7481"/>
    <w:rsid w:val="003B2D37"/>
    <w:rsid w:val="003B67D6"/>
    <w:rsid w:val="003F168E"/>
    <w:rsid w:val="003F37E6"/>
    <w:rsid w:val="003F538B"/>
    <w:rsid w:val="00414579"/>
    <w:rsid w:val="004225D3"/>
    <w:rsid w:val="0046332B"/>
    <w:rsid w:val="00480878"/>
    <w:rsid w:val="0048555C"/>
    <w:rsid w:val="004A2032"/>
    <w:rsid w:val="004A25C3"/>
    <w:rsid w:val="004C490D"/>
    <w:rsid w:val="004D75AB"/>
    <w:rsid w:val="004F30CB"/>
    <w:rsid w:val="00503DB2"/>
    <w:rsid w:val="005612EB"/>
    <w:rsid w:val="00573AFF"/>
    <w:rsid w:val="005845F5"/>
    <w:rsid w:val="005C55BE"/>
    <w:rsid w:val="00625C6D"/>
    <w:rsid w:val="00645302"/>
    <w:rsid w:val="00650520"/>
    <w:rsid w:val="00661B16"/>
    <w:rsid w:val="006643B1"/>
    <w:rsid w:val="00684DCA"/>
    <w:rsid w:val="00686500"/>
    <w:rsid w:val="006D5CF9"/>
    <w:rsid w:val="006F4CA9"/>
    <w:rsid w:val="006F7155"/>
    <w:rsid w:val="007010AD"/>
    <w:rsid w:val="007065F5"/>
    <w:rsid w:val="00714233"/>
    <w:rsid w:val="00723557"/>
    <w:rsid w:val="00757587"/>
    <w:rsid w:val="0076532F"/>
    <w:rsid w:val="007968D2"/>
    <w:rsid w:val="007C4746"/>
    <w:rsid w:val="007C6B24"/>
    <w:rsid w:val="00802C41"/>
    <w:rsid w:val="00814569"/>
    <w:rsid w:val="00817470"/>
    <w:rsid w:val="00817645"/>
    <w:rsid w:val="0082422B"/>
    <w:rsid w:val="008466DE"/>
    <w:rsid w:val="00850170"/>
    <w:rsid w:val="008505C6"/>
    <w:rsid w:val="00897F90"/>
    <w:rsid w:val="008A4DCB"/>
    <w:rsid w:val="008A5E13"/>
    <w:rsid w:val="008C1F2A"/>
    <w:rsid w:val="008C2BAD"/>
    <w:rsid w:val="008C413B"/>
    <w:rsid w:val="008C4712"/>
    <w:rsid w:val="008E095A"/>
    <w:rsid w:val="008F016B"/>
    <w:rsid w:val="008F01E9"/>
    <w:rsid w:val="008F0BEC"/>
    <w:rsid w:val="00934438"/>
    <w:rsid w:val="0098786C"/>
    <w:rsid w:val="009921EE"/>
    <w:rsid w:val="009B5C94"/>
    <w:rsid w:val="009C131E"/>
    <w:rsid w:val="009D1098"/>
    <w:rsid w:val="009E552F"/>
    <w:rsid w:val="009E7699"/>
    <w:rsid w:val="009F439B"/>
    <w:rsid w:val="00A2419C"/>
    <w:rsid w:val="00A46D32"/>
    <w:rsid w:val="00A820F9"/>
    <w:rsid w:val="00AB2E09"/>
    <w:rsid w:val="00AC3445"/>
    <w:rsid w:val="00AD2861"/>
    <w:rsid w:val="00AF1C51"/>
    <w:rsid w:val="00B203B3"/>
    <w:rsid w:val="00B24CB8"/>
    <w:rsid w:val="00B377D3"/>
    <w:rsid w:val="00B57060"/>
    <w:rsid w:val="00B677C9"/>
    <w:rsid w:val="00B94BF5"/>
    <w:rsid w:val="00BA4EAC"/>
    <w:rsid w:val="00BA5A8E"/>
    <w:rsid w:val="00BB36A4"/>
    <w:rsid w:val="00BB6186"/>
    <w:rsid w:val="00BB6535"/>
    <w:rsid w:val="00BC1387"/>
    <w:rsid w:val="00BE52FB"/>
    <w:rsid w:val="00BF248C"/>
    <w:rsid w:val="00BF437B"/>
    <w:rsid w:val="00C01C9B"/>
    <w:rsid w:val="00C055EF"/>
    <w:rsid w:val="00C05EE1"/>
    <w:rsid w:val="00C07D2D"/>
    <w:rsid w:val="00C15934"/>
    <w:rsid w:val="00C5658B"/>
    <w:rsid w:val="00CA6593"/>
    <w:rsid w:val="00CC5CAD"/>
    <w:rsid w:val="00CE01DC"/>
    <w:rsid w:val="00CF0248"/>
    <w:rsid w:val="00CF291B"/>
    <w:rsid w:val="00CF7AB2"/>
    <w:rsid w:val="00D23B1C"/>
    <w:rsid w:val="00D55EC9"/>
    <w:rsid w:val="00D75BBD"/>
    <w:rsid w:val="00D90940"/>
    <w:rsid w:val="00DA2404"/>
    <w:rsid w:val="00DA4DC5"/>
    <w:rsid w:val="00DB6835"/>
    <w:rsid w:val="00DD273E"/>
    <w:rsid w:val="00E21905"/>
    <w:rsid w:val="00E54F97"/>
    <w:rsid w:val="00E57F18"/>
    <w:rsid w:val="00F548C4"/>
    <w:rsid w:val="00F603EA"/>
    <w:rsid w:val="00FA1C3F"/>
    <w:rsid w:val="00FE7B63"/>
    <w:rsid w:val="13F29745"/>
    <w:rsid w:val="15F113A5"/>
    <w:rsid w:val="1A15C311"/>
    <w:rsid w:val="1EEE4C72"/>
    <w:rsid w:val="304D7420"/>
    <w:rsid w:val="33A9F368"/>
    <w:rsid w:val="41373612"/>
    <w:rsid w:val="46E8CE9B"/>
    <w:rsid w:val="66161F30"/>
    <w:rsid w:val="68F0CF96"/>
    <w:rsid w:val="7546C681"/>
    <w:rsid w:val="7C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B2A0E"/>
  <w15:docId w15:val="{38EABE99-238C-4538-AFA2-7D87273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7" w:hanging="3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4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4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33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5C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5C94"/>
  </w:style>
  <w:style w:type="table" w:styleId="TableGrid">
    <w:name w:val="Table Grid"/>
    <w:basedOn w:val="TableNormal"/>
    <w:uiPriority w:val="59"/>
    <w:rsid w:val="00BB6186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939"/>
  </w:style>
  <w:style w:type="paragraph" w:styleId="Footer">
    <w:name w:val="footer"/>
    <w:basedOn w:val="Normal"/>
    <w:link w:val="FooterChar"/>
    <w:uiPriority w:val="99"/>
    <w:unhideWhenUsed/>
    <w:rsid w:val="00123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939"/>
  </w:style>
  <w:style w:type="paragraph" w:styleId="Revision">
    <w:name w:val="Revision"/>
    <w:hidden/>
    <w:uiPriority w:val="99"/>
    <w:semiHidden/>
    <w:rsid w:val="002C4BA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0f655-e54f-46e9-9f3b-e79a842af78b">
      <Terms xmlns="http://schemas.microsoft.com/office/infopath/2007/PartnerControls"/>
    </lcf76f155ced4ddcb4097134ff3c332f>
    <TaxCatchAll xmlns="09f8f7b2-9bf8-4c66-94c4-8b9900eedd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54843D17A0D429BD1233E04DC54B1" ma:contentTypeVersion="18" ma:contentTypeDescription="Create a new document." ma:contentTypeScope="" ma:versionID="6638244d2d6f3a9ef185b40449ca4f2a">
  <xsd:schema xmlns:xsd="http://www.w3.org/2001/XMLSchema" xmlns:xs="http://www.w3.org/2001/XMLSchema" xmlns:p="http://schemas.microsoft.com/office/2006/metadata/properties" xmlns:ns2="3c60f655-e54f-46e9-9f3b-e79a842af78b" xmlns:ns3="09f8f7b2-9bf8-4c66-94c4-8b9900eedde3" targetNamespace="http://schemas.microsoft.com/office/2006/metadata/properties" ma:root="true" ma:fieldsID="0ed4c1cef36c13aa3c9d73b42130510a" ns2:_="" ns3:_="">
    <xsd:import namespace="3c60f655-e54f-46e9-9f3b-e79a842af78b"/>
    <xsd:import namespace="09f8f7b2-9bf8-4c66-94c4-8b9900eed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f655-e54f-46e9-9f3b-e79a842af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86e2ab-4869-40b9-8e7b-ddfb15a55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8f7b2-9bf8-4c66-94c4-8b9900eed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328f4-6bfa-437f-b90e-2b3acbc2f4bc}" ma:internalName="TaxCatchAll" ma:showField="CatchAllData" ma:web="09f8f7b2-9bf8-4c66-94c4-8b9900eed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5AAE3-E1F6-49C3-AA87-B0FED4292998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3c60f655-e54f-46e9-9f3b-e79a842af78b"/>
    <ds:schemaRef ds:uri="http://schemas.microsoft.com/office/infopath/2007/PartnerControls"/>
    <ds:schemaRef ds:uri="http://schemas.openxmlformats.org/package/2006/metadata/core-properties"/>
    <ds:schemaRef ds:uri="09f8f7b2-9bf8-4c66-94c4-8b9900eedde3"/>
  </ds:schemaRefs>
</ds:datastoreItem>
</file>

<file path=customXml/itemProps2.xml><?xml version="1.0" encoding="utf-8"?>
<ds:datastoreItem xmlns:ds="http://schemas.openxmlformats.org/officeDocument/2006/customXml" ds:itemID="{4CB37D1B-4E14-488C-A4ED-25A3091F1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27FCA-0D49-4BB6-885F-F5231F2FF2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13FD3-DACF-4186-B594-DAF701E5C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0f655-e54f-46e9-9f3b-e79a842af78b"/>
    <ds:schemaRef ds:uri="09f8f7b2-9bf8-4c66-94c4-8b9900eed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Justin Gallagher</cp:lastModifiedBy>
  <cp:revision>3</cp:revision>
  <cp:lastPrinted>2022-08-03T16:09:00Z</cp:lastPrinted>
  <dcterms:created xsi:type="dcterms:W3CDTF">2025-02-03T20:32:00Z</dcterms:created>
  <dcterms:modified xsi:type="dcterms:W3CDTF">2025-02-03T20:32:00Z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LastSaved">
    <vt:filetime>2017-08-25T00:00:00Z</vt:filetime>
  </property>
  <property fmtid="{D5CDD505-2E9C-101B-9397-08002B2CF9AE}" pid="4" name="ContentTypeId">
    <vt:lpwstr>0x01010071054843D17A0D429BD1233E04DC54B1</vt:lpwstr>
  </property>
  <property fmtid="{D5CDD505-2E9C-101B-9397-08002B2CF9AE}" pid="5" name="Order">
    <vt:r8>163200</vt:r8>
  </property>
  <property fmtid="{D5CDD505-2E9C-101B-9397-08002B2CF9AE}" pid="6" name="MediaServiceImageTags">
    <vt:lpwstr/>
  </property>
</Properties>
</file>